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1. Clinical characteristics of TCGA-COAD patients by BRAF expression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967"/>
        <w:gridCol w:w="2001"/>
        <w:gridCol w:w="2001"/>
        <w:gridCol w:w="2001"/>
        <w:gridCol w:w="1181"/>
        <w:gridCol w:w="2065"/>
      </w:tblGrid>
      <w:tr>
        <w:trPr>
          <w:trHeight w:val="460" w:hRule="auto"/>
          <w:tblHeader/>
        </w:trPr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BRAF expression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trHeight w:val="676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439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220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219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p-value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Fisher's exact 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Age, years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68.0 [58.0, 77.0]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69.0 [58.0, 78.0]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68.0 [57.0, 77.0]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0.464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&gt;0.999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184 (41.9%)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92 (41.8%)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92 (42.0%)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255 (58.1%)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128 (58.2%)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127 (58.0%)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&gt;0.999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234 (53.3%)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117 (53.2%)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117 (53.4%)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205 (46.7%)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103 (46.8%)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102 (46.6%)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0.365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72 (16.7%)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 (16.1%)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 (17.4%)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170 (39.5%)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 (42.9%)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77 (36.2%)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128 (29.8%)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64 (29.5%)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64 (30.0%)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 (14.0%)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 (11.5%)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 (16.4%)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0.398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 (2.7%)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 (3.6%)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75 (17.1%)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 (17.7%)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 (16.4%)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301 (68.6%)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152 (69.1%)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149 (68.0%)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 (11.6%)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 (9.5%)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 (13.7%)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0.248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258 (58.8%)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133 (60.5%)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125 (57.1%)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104 (23.7%)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55 (25.0%)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 (22.4%)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77 (17.5%)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 (14.5%)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 (20.5%)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325 (84.4%)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174 (87.4%)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151 (81.2%)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 (15.6%)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 (12.6%)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 (18.8%)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0.285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242 (56.3%)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128 (59.0%)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114 (53.5%)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188 (43.7%)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89 (41.0%)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99 (46.5%)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Pretreatment CEA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0.166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≤5 ng/mL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181 (65.1%)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89 (69.5%)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92 (61.3%)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&gt;5 ng/mL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97 (34.9%)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 (30.5%)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58 (38.7%)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Lymphovascular invasion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0.257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244 (61.8%)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118 (59.0%)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126 (64.6%)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151 (38.2%)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82 (41.0%)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69 (35.4%)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Vascular invasion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0.630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291 (76.6%)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146 (77.7%)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145 (75.5%)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89 (23.4%)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 (22.3%)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 (24.5%)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Residual 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0.172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318 (92.7%)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167 (94.4%)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151 (91.0%)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 (6.1%)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 (8.4%)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Histology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0.580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Colon Adenocarcinoma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374 (86.2%)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184 (85.2%)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190 (87.2%)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Colon Mucinous Adenocarcinoma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 (13.8%)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 (14.8%)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 (12.8%)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Tumor site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0.840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Ascending Colon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85 (20.1%)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46 (21.8%)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 (18.4%)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Cecum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102 (24.1%)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 (23.7%)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 (24.5%)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Descending Colon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 (4.5%)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 (5.2%)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 (3.8%)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Hepatic Flexure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 (6.4%)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 (6.6%)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 (6.1%)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Rectosigmoid Junction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Sigmoid Colon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144 (34.0%)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 (32.2%)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76 (35.8%)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Splenic Flexure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Transverse Colon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 (9.0%)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 (9.0%)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 (9.0%)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Tumor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0.316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Tumor free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196 (49.7%)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92 (47.2%)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104 (52.3%)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With 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198 (50.3%)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103 (52.8%)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95 (47.7%)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family_history_colorectal_cancer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0.410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317 (84.5%)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165 (85.5%)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152 (83.5%)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 (12.5%)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 (11.9%)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 (13.2%)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 (2.4%)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 (3.3%)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Median [Q1, Q3]; n (%)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Wilcoxon rank sum test; Pearson's chi-squared test; Fisher's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2026-10-27T14:33:09Z</dcterms:modified>
  <cp:category/>
</cp:coreProperties>
</file>