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BRCA1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  <w:gridCol w:w="2065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Fisher's exact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[59.0,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[56.5,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134 (60.9%)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(81.6%)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(62.0%)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(68.1%)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(38.0%)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(31.9%)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(76.1%)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(77.1%)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(91.7%)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(93.9%)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186 (85.3%)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(55.2%)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family_history_colorectal_cancer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317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(82.0%)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162 (87.1%)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2026-10-27T14:33:13Z</dcterms:modified>
  <cp:category/>
</cp:coreProperties>
</file>