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  <w:gridCol w:w="2065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440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Fisher's exact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[57.0,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77.5]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(53.6%)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(73.5%)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140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126 (57.5%)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153 (81.8%)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(64.4%)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(74.9%)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(92.5%)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0.096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(83.3%)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194 (89.0%)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(21.0%)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(30.0%)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(51.4%)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family_history_colorectal_cancer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317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(86.7%)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(82.4%)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2026-10-27T14:33:52Z</dcterms:modified>
  <cp:category/>
</cp:coreProperties>
</file>