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PIK3CA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  <w:gridCol w:w="2065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Fisher's exact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[59.5,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[56.0,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136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109 (49.8%)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110 (50.2%)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(69.5%)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(64.1%)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(81.6%)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(61.3%)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109 (51.2%)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(68.7%)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(61.9%)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(38.1%)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(63.7%)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(40.1%)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 (73.3%)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166 (93.3%)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(89.4%)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(43.1%)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family_history_colorectal_cancer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317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168 (85.3%)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(83.7%)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2026-10-27T14:33:27Z</dcterms:modified>
  <cp:category/>
</cp:coreProperties>
</file>