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457)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241 (52.9%)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(47.1%)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(17.1%)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311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268 (58.8%)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(18.0%)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336 (84.0%)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252 (56.4%)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(43.6%)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(65.7%)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(60.4%)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300 (75.9%)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329 (91.6%)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(7.2%)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389 (86.3%)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(13.7%)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(19.8%)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(51.8%)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332 (85.1%)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(0.5%)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2026-10-27T14:32:52Z</dcterms:modified>
  <cp:category/>
</cp:coreProperties>
</file>