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TCGA-READ patients by MS4A1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016"/>
        <w:gridCol w:w="2001"/>
        <w:gridCol w:w="2001"/>
        <w:gridCol w:w="2001"/>
        <w:gridCol w:w="1181"/>
        <w:gridCol w:w="2065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MS4A1 expression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158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79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79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Fisher's exact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[57.0,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65.0 [57.0,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[57.0, 72.0]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0.525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 (49.7%)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(52.6%)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(46.8%)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(50.3%)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(47.4%)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(53.2%)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87 (55.4%)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(56.4%)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(54.4%)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 (44.6%)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 (43.6%)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 (45.6%)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 (19.9%)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(21.3%)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(18.4%)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 (32.5%)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(33.3%)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(31.6%)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(31.1%)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(30.7%)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(31.6%)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(16.6%)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(14.7%)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(18.4%)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0.656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(17.3%)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(16.9%)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(17.7%)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107 (68.6%)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 (68.8%)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 (68.4%)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(10.1%)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0.666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 (51.9%)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(52.6%)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(51.3%)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(27.9%)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(25.0%)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(30.8%)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 (20.1%)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 (22.4%)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(17.9%)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&gt;0.999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119 (84.4%)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 (84.7%)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 (84.1%)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(15.6%)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(15.3%)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(15.9%)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0.626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(52.3%)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(54.7%)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(50.0%)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 (47.7%)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 (45.3%)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(50.0%)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0.553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 (59.4%)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 (63.3%)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(56.1%)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(40.6%)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(36.7%)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(43.9%)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Lymphovascular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&gt;0.999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 (59.7%)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(59.1%)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(60.3%)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 (40.3%)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(40.9%)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 (39.7%)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&gt;0.999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101 (74.3%)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(75.0%)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 (73.6%)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(25.7%)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(25.0%)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(26.4%)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Residual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&gt;0.999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 (90.6%)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 (90.3%)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(90.9%)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Histology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0.564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Rectal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138 (91.4%)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 (89.5%)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 (93.3%)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Rectal Mucinous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(10.5%)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Rectosigmoid Junction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(31.0%)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(29.9%)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(32.1%)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 (65.8%)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 (67.5%)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 (64.1%)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Sigmoid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0.498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Tumor free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(43.2%)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 (46.3%)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 (40.3%)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With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(56.8%)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 (53.7%)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(59.7%)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family_history_colorectal_cancer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119 (88.8%)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 (93.8%)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 (84.1%)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(10.4%)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(14.5%)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2026-10-27T14:34:27Z</dcterms:modified>
  <cp:category/>
</cp:coreProperties>
</file>