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(90.7%)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(89.0%)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(9.7%)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2026-10-27T14:33:59Z</dcterms:modified>
  <cp:category/>
</cp:coreProperties>
</file>