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BRAF expression, TCGA-COAD (n = 273, events = 49, EPV = 9.8;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1.66 (0.91–3.03)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 (1.02–1.07)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 (0.68–2.14)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4.00 (2.05–7.80)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2.08 (1.17–3.71)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2026-10-27T15:47:49Z</dcterms:modified>
  <cp:category/>
</cp:coreProperties>
</file>