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Multivariable Cox regression for overall survival: BRCA1 expression, TCGA-COAD (n = 273, events = 49, EPV = 9.8; exploratory)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060"/>
        <w:gridCol w:w="1489"/>
        <w:gridCol w:w="681"/>
        <w:gridCol w:w="931"/>
        <w:gridCol w:w="1611"/>
        <w:gridCol w:w="917"/>
        <w:gridCol w:w="1136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 p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BRCA1 expression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0.58 (0.33–1.04)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 (per 1 year)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1.04 (1.01–1.06)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1.15 (0.65–2.03)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4.01 (2.08–7.75)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Pretreatment CEA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≤5 ng/mL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&gt;5 ng/mL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2.12 (1.20–3.75)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2026-10-27T15:47:51Z</dcterms:modified>
  <cp:category/>
</cp:coreProperties>
</file>