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Multivariable Cox regression for overall survival: MS4A1 expression, TCGA-COAD (n = 273, events = 49, EPV = 9.8; exploratory)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060"/>
        <w:gridCol w:w="1489"/>
        <w:gridCol w:w="681"/>
        <w:gridCol w:w="931"/>
        <w:gridCol w:w="1611"/>
        <w:gridCol w:w="917"/>
        <w:gridCol w:w="113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MS4A1 expression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0.61 (0.34–1.11)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(per 1 year)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1.04 (1.01–1.06)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1.07 (0.60–1.92)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4.29 (2.20–8.38)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Pretreatment CEA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≤5 ng/mL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&gt;5 ng/mL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2.13 (1.20–3.77)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2026-10-27T15:48:01Z</dcterms:modified>
  <cp:category/>
</cp:coreProperties>
</file>