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Univariable Cox regression for overall survival, TCGA-COAD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120"/>
        <w:gridCol w:w="1489"/>
        <w:gridCol w:w="681"/>
        <w:gridCol w:w="931"/>
        <w:gridCol w:w="1611"/>
        <w:gridCol w:w="917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APC expression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 (0.58–1.29)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APC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1.01 (0.84–1.23)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BRAF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1.21 (0.81–1.81)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BRAF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1.34 (0.93–1.94)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BRCA1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0.66 (0.44–0.99)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BRCA1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 (0.66–1.13)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KRAS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0.82 (0.55–1.22)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KRAS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 (0.69–1.32)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PIK3CA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1.22 (0.82–1.83)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PIK3CA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1.32 (0.93–1.88)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TIMP1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1.75 (1.17–2.63)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TIMP1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1.38 (1.10–1.74)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TP53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0.82 (0.55–1.22)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TP53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0.88 (0.74–1.05)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ROCK2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0.62 (0.41–0.93)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ROCK2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0.88 (0.71–1.10)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MS4A1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0.59 (0.39–0.90)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MS4A1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 (0.87–1.04)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(per 1 year)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 (1.00–1.03)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0.88 (0.59–1.32)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2.95 (1.92–4.53)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Pretreatment CEA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≤5 ng/mL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&gt;5 ng/mL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2.80 (1.60–4.92)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2026-10-27T15:48:05Z</dcterms:modified>
  <cp:category/>
</cp:coreProperties>
</file>