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Kaplan–Meier estimates by gene expression, TCGA-COAD. NR = not reached.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41"/>
        <w:gridCol w:w="921"/>
        <w:gridCol w:w="681"/>
        <w:gridCol w:w="931"/>
        <w:gridCol w:w="2716"/>
        <w:gridCol w:w="1955"/>
        <w:gridCol w:w="1955"/>
      </w:tblGrid>
      <w:tr>
        <w:trPr>
          <w:trHeight w:val="59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Gene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Group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Events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Median OS, months (95% CI)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3-year OS (95% CI)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5-year OS (95% CI)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APC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Low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83.2 (62.7–NR)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77.4% (71.1–84.4)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67.4% (58.0–78.4)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APC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NR (61.8–NR)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78.4% (71.8–85.7)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62.5% (52.0–75.1)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BRAF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99.9 (70.1–NR)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80.1% (74.1–86.6)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68.7% (59.2–79.8)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BRAF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65.8 (49.9–NR)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75.6% (68.6–83.3)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59.8% (48.9–73.2)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BRCA1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67.2 (60.7–NR)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73.4% (66.5–81.1)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61.4% (50.6–74.5)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BRCA1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99.9 (70.1–NR)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82.6% (76.7–88.9)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67.8% (58.0–79.4)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KRAS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70.1 (61.8–NR)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76.8% (70.1–84.1)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64.2% (54.5–75.7)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KRAS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NR (92.7–NR)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79.4% (73.3–86.0)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65.1% (54.5–77.8)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PIK3CA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NR (81.3–NR)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79.7% (73.4–86.5)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68.2% (58.7–79.3)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PIK3CA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67.2 (61.8–NR)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76.4% (69.7–83.6)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61.3% (50.6–74.2)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TIMP1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NR (81.3–NR)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81.2% (74.6–88.3)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71.0% (61.3–82.2)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TIMP1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70.1 (54.6–NR)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74.7% (68.3–81.6)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57.6% (46.8–70.9)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TP53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67.2 (61.8–NR)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77.7% (71.4–84.6)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63.7% (52.9–76.7)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TP53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NR (70.1–NR)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78.3% (71.7–85.5)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65.4% (55.6–76.8)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ROCK2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83.2 (49.4–NR)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73.6% (66.9–80.9)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57.1% (46.9–69.4)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ROCK2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99.9 (65.8–NR)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82.2% (75.9–89.0)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72.5% (62.6–84.0)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MS4A1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67.2 (56.2–NR)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74.3% (67.8–81.4)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58.1% (48.5–69.5)</w:t>
            </w:r>
          </w:p>
        </w:tc>
      </w:tr>
      <w:tr>
        <w:trPr>
          <w:trHeight w:val="575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MS4A1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220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99.9 (99.9–NR)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81.0% (74.2–88.6)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73.4% (63.3–85.1)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2026-10-27T15:48:04Z</dcterms:modified>
  <cp:category/>
</cp:coreProperties>
</file>