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TCGA-COAD. HR from Cox regression; multivariable model adjusted for age (per 1 year), sex, pathologic stage group and pretreatment cea. Sensitivity: stratified by tss. q = Benjamini–Hochberg across exploratory genes only; the primary gene (ROCK2)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83.2 (49.4–NR)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(65.8–NR)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 (0.41–0.93)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 (0.25–0.84)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 (0.22–0.86)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6.02 (1.76, 10.28)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83.2 (62.7–NR)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(0.58–1.29)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1.13 (0.64–1.99)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(0.65–2.32)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(-3.17, 5.48)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65.8 (49.9–NR)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1.21 (0.81–1.81)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1.66 (0.91–3.03)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1.83 (0.98–3.40)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-2.15 (-6.46,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 (0.44–0.99)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 (0.33–1.04)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 (0.35–1.27)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3.84 (-0.45, 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(92.7–NR)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 (0.55–1.22)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1.19 (0.67–2.10)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(0.66–2.24)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1.29 (-3.00, 5.58)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(0.82–1.83)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1.31 (0.74–2.33)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(0.65–2.28)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-1.18 (-5.48, 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(54.6–NR)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1.75 (1.17–2.63)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2.18 (1.20–3.95)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2.11 (1.12–3.96)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-5.81 (-10.10, -1.52)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 (0.55–1.22)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 (0.35–1.16)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 (0.33–1.19)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(0.52–2.06)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 (0.03–0.55)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 (-4.11, 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(56.2–NR)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(99.9–NR)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 (0.39–0.90)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 (0.34–1.11)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 (0.36–1.22)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5.10 (0.81, 9.38)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2026-10-27T15:48:03Z</dcterms:modified>
  <cp:category/>
</cp:coreProperties>
</file>