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TCGA-COAD: multivariable Cox regression adjusted for age (per 1 year), sex, pathologic stage group and pretreatment cea, complete-case vs multiple imputation.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Patients missing other covariates were excluded from both analyses.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1"/>
        <w:gridCol w:w="1056"/>
        <w:gridCol w:w="1418"/>
        <w:gridCol w:w="1690"/>
        <w:gridCol w:w="2125"/>
        <w:gridCol w:w="1394"/>
        <w:gridCol w:w="733"/>
        <w:gridCol w:w="1006"/>
        <w:gridCol w:w="1340"/>
        <w:gridCol w:w="1441"/>
        <w:gridCol w:w="726"/>
        <w:gridCol w:w="726"/>
        <w:gridCol w:w="912"/>
        <w:gridCol w:w="1840"/>
        <w:gridCol w:w="691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Imputed,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FMI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Note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 (0.25–0.84)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 (0.41–0.98)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1.13 (0.64–1.99)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(0.54–1.27)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1.66 (0.91–3.03)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1.14 (0.74–1.75)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 (0.47–1.11)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1.19 (0.67–2.10)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 (0.62–1.45)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1.31 (0.74–2.33)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1.05 (0.69–1.61)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2.18 (1.20–3.95)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1.78 (1.15–2.76)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0.77 (0.50–1.17)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 (0.34–1.11)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 (36.5%)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 (0.35–0.85)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2026-10-27T15:40:02Z</dcterms:modified>
  <cp:category/>
</cp:coreProperties>
</file>