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 with multiple imputation: BRAF expression, TCGA-COAD (n = 430, events = 93, EPV = 18.6). pretreatment cea missing in 157/430 patients was imputed by chained equations (m = 40, 20 iterations) using the other covariates, expression group, event status and the Nelson–Aalen cumulative hazard; estimates were pooled with Rubin's rules. FMI = fraction of missing information. N/Events for imputed variables are observed values only.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0"/>
        <w:gridCol w:w="1489"/>
        <w:gridCol w:w="681"/>
        <w:gridCol w:w="931"/>
        <w:gridCol w:w="1611"/>
        <w:gridCol w:w="917"/>
        <w:gridCol w:w="81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FMI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BRAF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 (0.74–1.75)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 year)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 (1.01–1.05)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 (0.63–1.48)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3.02 (1.88–4.87)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2.02 (1.10–3.71)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2026-10-27T15:39:39Z</dcterms:modified>
  <cp:category/>
</cp:coreProperties>
</file>