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BRCA1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(0.47–1.11)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(1.01–1.05)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(0.60–1.42)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3.01 (1.87–4.85)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 (1.08–3.81)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2026-10-27T15:39:43Z</dcterms:modified>
  <cp:category/>
</cp:coreProperties>
</file>