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ROCK2 expression (High vs Low, median split of probe 202762_at within tumors) in GSE39582 (CIT, colon). HR from Cox regression; multivariable models adjusted for age group, years, sex and pathologic stage group; '+ MMR status' additionally adjusts for mmr status and '(MMR status known)' is the model without it on the same patients. Interaction p = likelihood-ratio test for ROCK2 group × mmr status. Time-split HRs (0–24 / &gt;24 months, adjusted) are shown only when the gene term violated proportional hazards. RMST difference = High − Low restricted mean survival time up to 60 months. Relapse-free survival excludes stage NaN. Direction compared with the TCGA-COAD multivariable HR 0.46.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4"/>
        <w:gridCol w:w="1064"/>
        <w:gridCol w:w="2705"/>
        <w:gridCol w:w="621"/>
        <w:gridCol w:w="815"/>
        <w:gridCol w:w="1344"/>
        <w:gridCol w:w="726"/>
        <w:gridCol w:w="726"/>
        <w:gridCol w:w="1262"/>
        <w:gridCol w:w="1441"/>
        <w:gridCol w:w="1192"/>
        <w:gridCol w:w="1091"/>
        <w:gridCol w:w="3109"/>
        <w:gridCol w:w="928"/>
        <w:gridCol w:w="20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(gene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Interaction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Direction as TCGA-COAD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 (0.63–1.12)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 (0.09, 6.07)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 (0.72–1.06)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 (0.61–1.08)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 (0.61–1.10)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 (0.58–1.07)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 (0.57–1.06)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4.16 (0.61, 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 (0.60–0.97)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 (0.58–1.10)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 (0.55–0.99)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 (0.25, 7.96)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 (0.70–1.04)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 (0.54–0.97)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 (0.54–0.99)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 (0.46–0.86)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 (0.46–0.85)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7.20 (2.65, 11.75)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 (0.56–0.91)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 (0.48–0.89)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2026-10-27T15:41:41Z</dcterms:modified>
  <cp:category/>
</cp:coreProperties>
</file>