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Kaplan–Meier estimates by ROCK2 expression, GSE39582 (CIT, colon). NR = not reached.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45"/>
        <w:gridCol w:w="1251"/>
        <w:gridCol w:w="921"/>
        <w:gridCol w:w="681"/>
        <w:gridCol w:w="931"/>
        <w:gridCol w:w="2431"/>
        <w:gridCol w:w="1760"/>
        <w:gridCol w:w="1760"/>
        <w:gridCol w:w="128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Endpoint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Population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3-year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5-year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Log-rank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145.0 (132.0–NR)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78.7% (73.8–83.9)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69.0% (63.4–75.3)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105.0 (86.0–NR)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77.0% (72.0–82.3)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66.0% (60.2–72.3)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(102.0–NR)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75.1% (69.0–81.8)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64.7% (57.7–72.5)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105.0 (86.0–NR)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77.5% (72.3–83.1)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65.5% (59.4–72.3)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(119.0–NR)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68.6% (63.1–74.4)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65.0% (59.4–71.2)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71.5% (66.1–77.3)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67.3% (61.5–73.5)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(93.0–NR)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60.9% (54.1–68.5)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58.2% (51.3–66.0)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0.256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69.4% (63.6–75.8)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64.8% (58.6–71.6)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2026-10-27T15:44:52Z</dcterms:modified>
  <cp:category/>
</cp:coreProperties>
</file>