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ROCK2 expression (High vs Low, median split of probe 211504_x_at within tumors) in GSE39582 (CIT, colon). HR from Cox regression; multivariable models adjusted for age group, years, sex and pathologic stage group; '+ MMR status' additionally adjusts for mmr status and '(MMR status known)' is the model without it on the same patients. Interaction p = likelihood-ratio test for ROCK2 group × mmr status. Time-split HRs (0–24 / &gt;24 months, adjusted) are shown only when the gene term violated proportional hazards. RMST difference = High − Low restricted mean survival time up to 60 months. Relapse-free survival excludes stage NaN. Direction compared with the TCGA-COAD multivariable HR 0.46.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1.25 (0.94–1.66)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-1.14 (-4.14, 1.86)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(0.79–1.37)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(0.88–1.56)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(0.86–1.57)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1.13 (0.82–1.55)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1.11 (0.80–1.52)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 (-3.34, 3.63)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 (0.64–1.24)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(0.75–1.43)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0.96 (0.72–1.29)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 (-3.21, 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 (0.74–1.30)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(0.73–1.33)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1.02 (0.75–1.39)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(0.64–1.20)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(0.61–1.14)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3.18 (-1.35, 7.71)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(0.58–1.12)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(0.63–1.20)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2026-10-27T15:44:52Z</dcterms:modified>
  <cp:category/>
</cp:coreProperties>
</file>