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Overall survival by gene expression (High vs Low), TCGA-READ: multivariable Cox regression adjusted for age (per 1 year), sex, pathologic stage group and pretreatment cea, complete-case vs multiple imputation. pretreatment cea missing in 48/151 patients was imputed by chained equations (m = 40, 20 iterations) using the other covariates, expression group, event status and the Nelson–Aalen cumulative hazard; estimates were pooled with Rubin's rules. FMI = fraction of missing information. Patients missing other covariates were excluded from both analyses.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1"/>
        <w:gridCol w:w="1056"/>
        <w:gridCol w:w="1418"/>
        <w:gridCol w:w="1690"/>
        <w:gridCol w:w="2125"/>
        <w:gridCol w:w="1394"/>
        <w:gridCol w:w="733"/>
        <w:gridCol w:w="1006"/>
        <w:gridCol w:w="1340"/>
        <w:gridCol w:w="1441"/>
        <w:gridCol w:w="726"/>
        <w:gridCol w:w="726"/>
        <w:gridCol w:w="912"/>
        <w:gridCol w:w="1840"/>
        <w:gridCol w:w="691"/>
      </w:tblGrid>
      <w:tr>
        <w:trPr>
          <w:trHeight w:val="542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Gene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Role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Complete-case 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Complete-case 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Complete-case 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Complete-case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MI 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MI 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Imputed, 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MI 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MI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FMI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MI EPV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Exploratory (EPV &lt; 10)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Note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ROCK2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primary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0.53 (0.13–2.09)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48 (31.8%)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0.65 (0.23–1.86)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BRAF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0.60 (0.19–1.93)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48 (31.8%)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0.69 (0.26–1.84)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BRCA1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0.48 (0.15–1.54)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48 (32.0%)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0.52 (0.20–1.40)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TIMP1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2.44 (0.73–8.08)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47 (31.3%)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1.85 (0.67–5.14)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APC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0.87 (0.28–2.68)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0.804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48 (31.8%)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0.99 (0.38–2.58)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FBXW7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0.40 (0.11–1.53)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47 (31.3%)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0.57 (0.21–1.55)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KRAS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0.25 (0.06–0.94)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48 (32.0%)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0.60 (0.22–1.65)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PIK3CA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0.53 (0.15–1.82)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47 (31.3%)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0.74 (0.27–2.05)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0.539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TP53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1.03 (0.31–3.46)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48 (32.0%)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0.93 (0.35–2.48)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0.885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2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MS4A1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exploratory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102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0.13 (0.03–0.52)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48 (32.0%)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0.33 (0.11–0.96)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true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2026-10-27T15:40:30Z</dcterms:modified>
  <cp:category/>
</cp:coreProperties>
</file>