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BRAF expression, TCGA-READ (n = 151, events = 23, EPV = 4.6). pretreatment cea missing in 48/151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(0.26–1.84)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(1.03–1.16)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(0.42–2.77)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 (0.90–7.17)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 (0.46–6.68)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2026-10-27T15:40:05Z</dcterms:modified>
  <cp:category/>
</cp:coreProperties>
</file>