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 with multiple imputation: FBXW7 expression, TCGA-READ (n = 150, events = 23, EPV = 4.6). pretreatment cea missing in 47/150 patients was imputed by chained equations (m = 40, 20 iterations) using the other covariates, expression group, event status and the Nelson–Aalen cumulative hazard; estimates were pooled with Rubin's rules. FMI = fraction of missing information. N/Events for imputed variables are observed values only.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816"/>
        <w:gridCol w:w="81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FMI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FBXW7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 (0.21–1.55)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 (1.03–1.16)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 (0.41–2.67)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2.76 (0.95–8.01)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1.64 (0.41–6.53)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2026-10-27T15:40:16Z</dcterms:modified>
  <cp:category/>
</cp:coreProperties>
</file>