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 with multiple imputation: MS4A1 expression, TCGA-READ (n = 150, events = 23, EPV = 4.6). pretreatment cea missing in 48/150 patients was imputed by chained equations (m = 40, 20 iterations) using the other covariates, expression group, event status and the Nelson–Aalen cumulative hazard; estimates were pooled with Rubin's rules. FMI = fraction of missing information. N/Events for imputed variables are observed values only.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816"/>
        <w:gridCol w:w="81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FMI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 (0.11–0.96)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 (1.02–1.15)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(0.32–2.19)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2.31 (0.80–6.66)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1.68 (0.42–6.69)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2026-10-27T15:40:29Z</dcterms:modified>
  <cp:category/>
</cp:coreProperties>
</file>