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 with multiple imputation: PIK3CA expression, TCGA-READ (n = 150, events = 22, EPV = 4.4). pretreatment cea missing in 47/150 patients was imputed by chained equations (m = 40, 20 iterations) using the other covariates, expression group, event status and the Nelson–Aalen cumulative hazard; estimates were pooled with Rubin's rules. FMI = fraction of missing information. N/Events for imputed variables are observed values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816"/>
        <w:gridCol w:w="8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(0.27–2.05)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(per 1 year)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 (1.02–1.16)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 (0.45–3.07)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2.34 (0.83–6.65)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1.82 (0.49–6.78)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2026-10-27T15:40:21Z</dcterms:modified>
  <cp:category/>
</cp:coreProperties>
</file>