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 with multiple imputation: ROCK2 expression, TCGA-READ (n = 151, events = 23, EPV = 4.6). pretreatment cea missing in 48/151 patients was imputed by chained equations (m = 40, 20 iterations) using the other covariates, expression group, event status and the Nelson–Aalen cumulative hazard; estimates were pooled with Rubin's rules. FMI = fraction of missing information. N/Events for imputed variables are observed values only.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816"/>
        <w:gridCol w:w="81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FMI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 (0.23–1.86)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 year)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1.08 (1.02–1.15)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(0.41–2.66)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2.51 (0.90–6.99)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1.58 (0.43–5.85)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2026-10-27T15:40:26Z</dcterms:modified>
  <cp:category/>
</cp:coreProperties>
</file>