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 with multiple imputation: TP53 expression, TCGA-READ (n = 150, events = 22, EPV = 4.4). pretreatment cea missing in 48/150 patients was imputed by chained equations (m = 40, 20 iterations) using the other covariates, expression group, event status and the Nelson–Aalen cumulative hazard; estimates were pooled with Rubin's rules. FMI = fraction of missing information. N/Events for imputed variables are observed values only.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489"/>
        <w:gridCol w:w="681"/>
        <w:gridCol w:w="931"/>
        <w:gridCol w:w="1611"/>
        <w:gridCol w:w="816"/>
        <w:gridCol w:w="81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FMI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 (0.35–2.48)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 year)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 (1.04–1.17)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 (0.42–2.81)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2.52 (0.87–7.31)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1.38 (0.37–5.19)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2026-10-27T15:40:24Z</dcterms:modified>
  <cp:category/>
</cp:coreProperties>
</file>