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Kaplan–Meier estimates by gene expression, TCGA-READ. NR = not reached.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41"/>
        <w:gridCol w:w="921"/>
        <w:gridCol w:w="591"/>
        <w:gridCol w:w="931"/>
        <w:gridCol w:w="2716"/>
        <w:gridCol w:w="1955"/>
        <w:gridCol w:w="1955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Median OS,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3-year OS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5-year OS (95% CI)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51.9 (51.4–NR)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78.9% (66.8–93.1)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44.7% (21.3–94.0)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(57.2–NR)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89.7% (82.6–97.4)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56.8% (36.5–88.5)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BRCA1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57.2 (41.3–NR)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78.0% (66.4–91.6)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25.9% (6.0–100.0)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BRCA1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(51.9–NR)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91.3% (84.1–99.1)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65.9% (46.3–93.8)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(NR–NR)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90.2% (82.9–98.1)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81.2% (68.5–96.2)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51.4 (43.2–NR)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80.0% (69.0–92.7)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13.7% (2.4–78.8)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51.4 (47.0–NR)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84.5% (74.1–96.4)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15.1% (2.7–86.0)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(NR–NR)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85.6% (77.0–95.1)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76.2% (62.5–92.8)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FBXW7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51.9 (43.2–NR)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85.9% (76.4–96.7)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31.3% (7.4–100.0)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FBXW7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(51.4–NR)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84.6% (75.4–94.8)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55.4% (36.1–84.9)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51.9 (51.4–NR)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79.8% (68.2–93.4)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33.2% (14.3–77.1)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(NR–NR)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89.2% (81.9–97.2)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71.6% (54.7–93.7)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51.9 (51.4–NR)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81.0% (69.4–94.4)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20.3% (4.2–98.6)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(NR–NR)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90.2% (83.6–97.4)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72.1% (55.0–94.5)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(51.9–NR)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83.5% (74.3–93.8)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53.1% (30.2–93.4)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(47.0–NR)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88.8% (79.5–99.2)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50.8% (29.4–87.9)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51.4 (41.3–NR)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81.1% (70.0–94.0)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17.4% (3.3–93.0)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(NR–NR)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88.5% (80.7–97.1)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69.9% (51.9–94.3)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51.4 (43.2–NR)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75.2% (63.1–89.7)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33.3% (15.0–74.1)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(51.9–NR)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93.5% (87.4–100.0)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70.4% (49.2–100.0)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2026-10-27T15:48:26Z</dcterms:modified>
  <cp:category/>
</cp:coreProperties>
</file>