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gene expression (High vs Low), TCGA-READ. HR from Cox regression; multivariable model adjusted for age (per 1 year), sex, pathologic stage group and pretreatment cea. Sensitivity: stratified by tss. q = Benjamini–Hochberg across exploratory genes only; the primary gene (ROCK2) is reported with its unadjusted p. Time-split HRs (0–24 / &gt;24 months, adjusted) are shown only for genes whose expression term violated proportional hazards. RMST difference = High − Low restricted mean survival time up to 60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1"/>
        <w:gridCol w:w="964"/>
        <w:gridCol w:w="591"/>
        <w:gridCol w:w="757"/>
        <w:gridCol w:w="2204"/>
        <w:gridCol w:w="2231"/>
        <w:gridCol w:w="994"/>
        <w:gridCol w:w="994"/>
        <w:gridCol w:w="1741"/>
        <w:gridCol w:w="1114"/>
        <w:gridCol w:w="1114"/>
        <w:gridCol w:w="1841"/>
        <w:gridCol w:w="1214"/>
        <w:gridCol w:w="1214"/>
        <w:gridCol w:w="651"/>
        <w:gridCol w:w="1141"/>
        <w:gridCol w:w="1747"/>
        <w:gridCol w:w="1121"/>
        <w:gridCol w:w="1017"/>
        <w:gridCol w:w="1564"/>
        <w:gridCol w:w="937"/>
        <w:gridCol w:w="1512"/>
        <w:gridCol w:w="886"/>
        <w:gridCol w:w="2724"/>
        <w:gridCol w:w="854"/>
        <w:gridCol w:w="1636"/>
        <w:gridCol w:w="65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Low,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Median OS High,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Log-rank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Univariable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Multivariable 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Strata(TSS)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PH global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0–24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0–24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HR &gt;24 mo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 &gt;24 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Exploratory (EPV &lt; 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Note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(41.3–NR)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0.44 (0.19–1.00)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 (0.13–2.09)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 (0.16–2.61)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7.75 (0.66, 14.84)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0.74 (0.34–1.64)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0.60 (0.19–1.93)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0.49 (0.14–1.72)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2.85 (-4.17, 9.87)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57.2 (41.3–NR)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 (0.16–0.87)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 (0.15–1.54)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0.61 (0.19–1.95)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7.82 (0.89, 14.75)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2.58 (1.10–6.03)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2.44 (0.73–8.08)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1.93 (0.57–6.54)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2.03 (0.50–8.29)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3.69 (0.42–32.61)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-8.42 (-14.94, -1.89)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 (0.29–1.43)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(0.28–2.68)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1.17 (0.34–4.05)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1.36 (0.35–5.24)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 (0.03–2.80)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4.82 (-1.86, 11.50)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FBXW7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(43.2–NR)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0.73 (0.32–1.65)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 (0.11–1.53)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 (0.13–2.00)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3.98 (-3.70, 11.66)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0.55 (0.25–1.23)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 (0.06–0.94)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 (0.03–1.19)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5.32 (-1.61, 12.26)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51.9 (51.4–NR)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0.54 (0.24–1.23)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 (0.15–1.82)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 (0.15–1.93)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5.67 (-1.11, 12.45)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(47.0–NR)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0.87 (0.39–1.94)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1.03 (0.31–3.46)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1.04 (0.25–4.37)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 (-6.84, 6.99)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MS4A1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exploratory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51.4 (43.2–NR)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NR (51.9–NR)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0.32 (0.13–0.77)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 (0.03–0.52)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 (0.02–0.48)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9.16 (2.22, 16.09)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2026-10-27T15:48:25Z</dcterms:modified>
  <cp:category/>
</cp:coreProperties>
</file>