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TCGA-COAD: multivariable Cox regression adjusted for age group, years, sex, pathologic stage group and pretreatment cea, complete-case vs multiple imputation.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Patients missing other covariates were excluded from both analyses.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1"/>
        <w:gridCol w:w="1056"/>
        <w:gridCol w:w="1418"/>
        <w:gridCol w:w="1690"/>
        <w:gridCol w:w="2125"/>
        <w:gridCol w:w="1394"/>
        <w:gridCol w:w="733"/>
        <w:gridCol w:w="1006"/>
        <w:gridCol w:w="1340"/>
        <w:gridCol w:w="1441"/>
        <w:gridCol w:w="726"/>
        <w:gridCol w:w="726"/>
        <w:gridCol w:w="912"/>
        <w:gridCol w:w="1840"/>
        <w:gridCol w:w="691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Complete-case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Imputed,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FMI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 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Note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 (0.25–0.82)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 (0.42–1.00)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 (0.68–2.11)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 (0.55–1.29)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 (0.83–2.78)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 (0.73–1.73)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 (0.33–1.04)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 (0.47–1.09)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 (0.64–2.01)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(0.63–1.47)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1.34 (0.75–2.38)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 (0.72–1.67)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2.16 (1.19–3.92)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 (1.14–2.74)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 (0.35–1.16)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 (0.49–1.17)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 (0.34–1.09)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 (36.5%)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 (0.34–0.84)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2026-10-27T16:14:42Z</dcterms:modified>
  <cp:category/>
</cp:coreProperties>
</file>