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BRAF expression, TCGA-COAD (n = 430, events = 93, EPV = 18.6). pretreatment cea missing in 157/430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1.12 (0.73–1.73)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1.86 (1.15–3.01)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(0.62–1.46)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2.85 (1.77–4.57)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1.98 (1.03–3.80)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2026-10-27T16:14:18Z</dcterms:modified>
  <cp:category/>
</cp:coreProperties>
</file>