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 with multiple imputation: KRAS expression, TCGA-COAD (n = 430, events = 93, EPV = 18.6). pretreatment cea missing in 157/430 patients was imputed by chained equations (m = 40, 20 iterations) using the other covariates, expression group, event status and the Nelson–Aalen cumulative hazard; estimates were pooled with Rubin's rules. FMI = fraction of missing information. N/Events for imputed variables are observed values only.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60"/>
        <w:gridCol w:w="1489"/>
        <w:gridCol w:w="681"/>
        <w:gridCol w:w="931"/>
        <w:gridCol w:w="1611"/>
        <w:gridCol w:w="917"/>
        <w:gridCol w:w="81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FMI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KRAS expression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 (ref)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 (0.63–1.47)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1.83 (1.14–2.95)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0.055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(0.61–1.45)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2.83 (1.76–4.55)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2.03 (1.08–3.79)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0.526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2026-10-27T16:14:26Z</dcterms:modified>
  <cp:category/>
</cp:coreProperties>
</file>