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MS4A1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(0.34–0.84)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1.80 (1.12–2.89)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(0.61–1.46)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3.00 (1.86–4.83)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(1.06–3.76)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2026-10-27T16:14:42Z</dcterms:modified>
  <cp:category/>
</cp:coreProperties>
</file>