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 by gene expression (High vs Low), TCGA-READ: multivariable Cox regression adjusted for age group, years, sex, pathologic stage group and pretreatment cea, complete-case vs multiple imputation. pretreatment cea missing in 48/151 patients was imputed by chained equations (m = 40, 20 iterations) using the other covariates, expression group, event status and the Nelson–Aalen cumulative hazard; estimates were pooled with Rubin's rules. FMI = fraction of missing information. Patients missing other covariates were excluded from both analyses.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1"/>
        <w:gridCol w:w="1056"/>
        <w:gridCol w:w="1418"/>
        <w:gridCol w:w="1690"/>
        <w:gridCol w:w="2125"/>
        <w:gridCol w:w="1394"/>
        <w:gridCol w:w="733"/>
        <w:gridCol w:w="1006"/>
        <w:gridCol w:w="1340"/>
        <w:gridCol w:w="1441"/>
        <w:gridCol w:w="726"/>
        <w:gridCol w:w="726"/>
        <w:gridCol w:w="912"/>
        <w:gridCol w:w="1840"/>
        <w:gridCol w:w="691"/>
      </w:tblGrid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Complete-case 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Complete-case 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Complete-case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Complete-case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MI 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MI 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Imputed,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MI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MI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FMI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MI EPV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Exploratory (EPV &lt; 10)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Note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ROCK2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 (0.11–1.53)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 (31.8%)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 (0.20–1.51)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 (0.17–1.67)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 (0.24–1.63)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 (0.15–1.52)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 (0.19–1.39)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TIMP1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3.56 (1.03–12.34)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2.44 (0.89–6.73)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 (0.23–2.13)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 (0.31–1.99)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FBXW7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 (0.09–1.29)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 (0.22–1.60)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 (0.06–0.79)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 (0.19–1.37)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 (0.13–1.41)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 (0.22–1.56)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 (0.26–2.90)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 (0.31–2.19)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MS4A1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exploratory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 (0.03–0.48)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 (32.0%)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 (0.10–0.82)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2026-10-27T16:15:10Z</dcterms:modified>
  <cp:category/>
</cp:coreProperties>
</file>