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BRAF expression, TCGA-READ (n = 151, events = 23, EPV = 4.6). pretreatment cea missing in 48/151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591"/>
        <w:gridCol w:w="931"/>
        <w:gridCol w:w="170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(0.24–1.63)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4.81 (1.46–15.87)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(0.54–3.57)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2.19 (0.79–6.07)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(0.55–6.65)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2026-10-27T16:14:45Z</dcterms:modified>
  <cp:category/>
</cp:coreProperties>
</file>