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KRAS expression, TCGA-READ (n = 150, events = 23, EPV = 4.6). pretreatment cea missing in 48/150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 (0.19–1.37)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4.41 (1.33–14.65)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1.29 (0.51–3.28)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2.10 (0.76–5.79)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2.28 (0.68–7.67)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2026-10-27T16:14:59Z</dcterms:modified>
  <cp:category/>
</cp:coreProperties>
</file>