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 with multiple imputation: TP53 expression, TCGA-READ (n = 150, events = 22, EPV = 4.4). pretreatment cea missing in 48/150 patients was imputed by chained equations (m = 40, 20 iterations) using the other covariates, expression group, event status and the Nelson–Aalen cumulative hazard; estimates were pooled with Rubin's rules. FMI = fraction of missing information. N/Events for imputed variables are observed values only.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60"/>
        <w:gridCol w:w="1489"/>
        <w:gridCol w:w="591"/>
        <w:gridCol w:w="931"/>
        <w:gridCol w:w="1701"/>
        <w:gridCol w:w="816"/>
        <w:gridCol w:w="81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FMI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TP53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0.82 (0.31–2.19)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0.125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6.36 (1.66–24.36)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0.114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1.39 (0.54–3.57)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0.119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2.21 (0.76–6.39)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1.49 (0.42–5.31)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0.505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0.401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2026-10-27T16:15:04Z</dcterms:modified>
  <cp:category/>
</cp:coreProperties>
</file>