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(0.78–6.37)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4.53 (1.59–12.94)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14.33 (4.99–41.20)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2026-09-27T12:42:23Z</dcterms:modified>
  <cp:category/>
</cp:coreProperties>
</file>