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(0.70–1.61)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2.22 (0.77–6.34)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4.45 (1.56–12.69)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14.09 (4.90–40.49)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2026-09-27T12:42:25Z</dcterms:modified>
  <cp:category/>
</cp:coreProperties>
</file>