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(1.11–2.60)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 (0.60–1.39)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2.14 (0.75–6.13)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4.18 (1.47–11.93)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13.36 (4.66–38.31)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2026-09-27T12:42:33Z</dcterms:modified>
  <cp:category/>
</cp:coreProperties>
</file>