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(0.76–6.23)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4.40 (1.55–12.55)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13.68 (4.76–39.36)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2026-09-27T12:42:35Z</dcterms:modified>
  <cp:category/>
</cp:coreProperties>
</file>