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Univariable Cox regression for overall survival, TCGA-COAD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0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(0.59–1.32)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(0.84–1.23)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1.19 (0.79–1.77)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1.34 (0.93–1.93)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 (0.45–1.00)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(0.66–1.15)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 (0.54–1.20)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 (0.68–1.29)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1.21 (0.81–1.81)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1.30 (0.92–1.85)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1.73 (1.15–2.61)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(1.09–1.74)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 (0.53–1.19)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(0.73–1.04)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 (0.42–0.94)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 (0.72–1.12)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 (0.40–0.92)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(0.87–1.04)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1.18 (1.00–1.40)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(0.58–1.30)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2.26 (0.79–6.46)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3.79 (1.33–10.78)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11.20 (3.94–31.84)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2.90 (1.89–4.46)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2026-09-27T12:42:42Z</dcterms:modified>
  <cp:category/>
</cp:coreProperties>
</file>