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TCGA-COAD.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921"/>
        <w:gridCol w:w="68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92.7 (62.7–NR)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77.9% (71.5–84.8)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67.8% (58.4–78.8)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78.4% (71.7–85.6)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62.5% (52.0–75.1)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80.1% (74.1–86.6)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68.6% (59.1–79.7)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76.1% (69.1–83.7)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60.2% (49.2–73.6)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81.3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73.7% (66.8–81.4)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61.6% (50.8–74.8)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82.6% (76.7–88.9)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67.8% (58.0–79.4)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76.8% (70.1–84.1)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64.2% (54.5–75.7)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(73.7–86.3)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65.4% (54.7–78.2)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79.7% (73.4–86.5)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68.2% (58.7–79.3)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76.7% (70.1–84.0)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61.6% (50.9–74.5)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(74.6–88.3)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71.0% (61.3–82.2)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75.0% (68.6–81.9)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57.9% (47.0–71.2)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77.7% (71.3–84.6)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63.6% (52.8–76.7)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78.7% (72.2–85.9)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65.7% (56.0–77.2)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73.9% (67.2–81.2)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57.3% (47.1–69.7)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82.2% (75.9–89.0)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72.5% (62.6–84.0)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74.7% (68.2–81.8)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58.4% (48.8–69.9)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(99.9–NR)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(74.1–88.5)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73.3% (63.2–85.1)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2026-09-27T12:42:41Z</dcterms:modified>
  <cp:category/>
</cp:coreProperties>
</file>