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TCGA-COAD. HR from Cox regression; multivariable model adjusted for age (per 10 years), sex and pathologic stage. q = Benjamini–Hochberg across exploratory genes only; the primary gene (MS4A1)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3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(56.2–NR)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(99.9–NR)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0.60 (0.40–0.92)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 (0.35–0.85)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0.50 (0.31–0.81)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4.88 (0.60, 9.17)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92.7 (62.7–NR)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(0.59–1.32)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(0.57–1.30)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0.87 (0.55–1.40)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0.94 (-3.39, 5.26)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1.19 (0.79–1.77)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1.06 (0.70–1.61)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1.11 (0.73–1.71)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-1.92 (-6.23, 2.40)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81.3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0.67 (0.45–1.00)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 (0.51–1.18)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0.90 (0.57–1.42)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3.70 (-0.59, 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0.81 (0.54–1.20)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0.82 (0.54–1.24)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0.79 (0.51–1.25)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1.45 (-2.83, 5.74)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1.21 (0.81–1.81)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0.94 (0.62–1.43)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0.92 (0.59–1.44)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-1.02 (-5.32, 3.27)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1.73 (1.15–2.61)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1.70 (1.11–2.60)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1.69 (1.07–2.67)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-5.67 (-9.97, -1.38)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0.80 (0.53–1.19)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0.80 (0.53–1.22)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0.81 (0.51–1.27)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 (-3.87, 4.71)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83.2 (56.2–NR)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(65.8–NR)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0.63 (0.42–0.94)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0.57 (0.37–0.87)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 (0.39–0.99)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5.89 (1.63, 10.15)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2026-09-27T12:42:41Z</dcterms:modified>
  <cp:category/>
</cp:coreProperties>
</file>