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(47.0%)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 (83.9%)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(65.5%)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(60.1%)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(75.8%)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 (85.8%)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(86.6%)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(19.5%)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(51.5%)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2026-09-27T12:40:33Z</dcterms:modified>
  <cp:category/>
</cp:coreProperties>
</file>