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2.46 (1.41–4.29)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(0.44–2.36)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2.84 (1.15–7.02)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2026-09-27T12:42:50Z</dcterms:modified>
  <cp:category/>
</cp:coreProperties>
</file>