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 (0.76–4.83)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2.28 (1.35–3.87)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(0.40–2.19)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 (1.02–6.41)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2026-09-27T12:42:48Z</dcterms:modified>
  <cp:category/>
</cp:coreProperties>
</file>