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TCGA-READ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145"/>
        <w:gridCol w:w="681"/>
        <w:gridCol w:w="931"/>
        <w:gridCol w:w="170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(0.34–1.66)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 (0.17–0.88)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 (0.19–0.70)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2.54 (1.09–5.96)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1.80 (1.15–2.81)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(0.29–1.45)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(0.54–1.31)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(0.32–1.63)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(0.43–2.48)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 (0.25–1.25)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(0.44–1.25)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(0.24–1.24)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(0.32–1.23)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(0.38–1.92)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(0.86–1.71)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(0.19–1.01)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(0.45–1.15)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(0.68–1.02)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2.34 (1.47–3.71)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 (0.55–2.64)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1.25 (0.24–6.48)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2.39 (0.50–11.46)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6.24 (1.31–29.62)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2.98 (1.22–7.30)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2026-09-27T12:43:06Z</dcterms:modified>
  <cp:category/>
</cp:coreProperties>
</file>