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Kaplan–Meier estimates by gene expression, TCGA-READ. NR = not reached.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41"/>
        <w:gridCol w:w="921"/>
        <w:gridCol w:w="591"/>
        <w:gridCol w:w="931"/>
        <w:gridCol w:w="2716"/>
        <w:gridCol w:w="1955"/>
        <w:gridCol w:w="1955"/>
      </w:tblGrid>
      <w:tr>
        <w:trPr>
          <w:trHeight w:val="59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Gene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Group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Median OS, months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3-year OS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5-year OS (95% CI)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BRAF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51.9 (51.4–NR)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78.9% (66.8–93.1)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44.7% (21.3–94.0)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BRAF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NR (57.2–NR)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89.5% (82.3–97.4)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56.7% (36.4–88.3)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BRCA1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57.2 (41.3–NR)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78.0% (66.4–91.6)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25.9% (6.0–100.0)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BRCA1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NR (51.9–NR)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91.1% (83.8–99.1)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65.8% (46.2–93.6)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TIMP1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NR (NR–NR)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90.1% (82.7–98.1)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81.1% (68.4–96.1)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TIMP1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51.4 (43.2–NR)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80.0% (69.0–92.7)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13.7% (2.4–78.8)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APC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51.4 (47.0–NR)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84.5% (74.1–96.4)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15.1% (2.7–86.0)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APC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NR (NR–NR)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85.3% (76.7–95.0)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75.9% (62.2–92.6)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FBXW7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51.9 (43.2–NR)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85.6% (75.9–96.6)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31.2% (7.3–100.0)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FBXW7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NR (51.4–NR)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84.6% (75.4–94.8)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55.4% (36.1–84.9)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KRAS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51.9 (51.4–NR)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79.8% (68.2–93.4)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33.2% (14.3–77.1)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KRAS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NR (NR–NR)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89.0% (81.6–97.2)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71.4% (54.5–93.5)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PIK3CA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51.9 (51.4–NR)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81.0% (69.4–94.4)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20.3% (4.2–98.6)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PIK3CA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NR (NR–NR)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90.1% (83.4–97.4)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72.0% (54.9–94.3)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TP53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NR (51.9–NR)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83.2% (73.8–93.7)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52.9% (30.1–93.1)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TP53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NR (47.0–NR)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88.8% (79.5–99.2)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50.8% (29.4–87.9)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ROCK2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51.4 (41.3–NR)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81.1% (70.0–94.0)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17.4% (3.3–93.0)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ROCK2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NR (NR–NR)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88.3% (80.4–97.1)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69.8% (51.7–94.2)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MS4A1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51.4 (43.2–NR)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75.2% (63.1–89.7)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33.3% (15.0–74.1)</w:t>
            </w:r>
          </w:p>
        </w:tc>
      </w:tr>
      <w:tr>
        <w:trPr>
          <w:trHeight w:val="575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MS4A1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NR (51.9–NR)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93.4% (87.2–100.0)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70.3% (49.1–100.0)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2026-09-27T12:43:05Z</dcterms:modified>
  <cp:category/>
</cp:coreProperties>
</file>