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[60.0,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(91.2%)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(83.1%)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(92.0%)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2026-09-27T12:41:54Z</dcterms:modified>
  <cp:category/>
</cp:coreProperties>
</file>