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MS4A1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MS4A1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66.5 [57.0,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(49.4%)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(68.4%)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(29.9%)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(84.7%)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(85.3%)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(47.3%)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(63.3%)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(40.6%)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(43.9%)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(60.3%)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(40.9%)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(39.7%)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(74.3%)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(73.6%)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(87.2%)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(84.8%)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(91.3%)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(89.5%)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(93.2%)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(29.9%)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(65.6%)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(67.5%)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(63.6%)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(40.8%)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(53.7%)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2026-09-27T12:42:17Z</dcterms:modified>
  <cp:category/>
</cp:coreProperties>
</file>